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asciiTheme="majorEastAsia" w:hAnsiTheme="majorEastAsia" w:eastAsiaTheme="majorEastAsia"/>
        </w:rPr>
        <w:t>様式第</w:t>
      </w:r>
      <w:r>
        <w:rPr>
          <w:rFonts w:hint="default" w:asciiTheme="majorEastAsia" w:hAnsiTheme="majorEastAsia" w:eastAsiaTheme="majorEastAsia"/>
        </w:rPr>
        <w:t>23</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bookmarkStart w:id="0" w:name="_GoBack"/>
      <w:bookmarkEnd w:id="0"/>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北堀　篤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r>
        <w:rPr>
          <w:rFonts w:hint="eastAsia"/>
        </w:rPr>
        <w:t>　中小企業等経営強化法施行規則第</w:t>
      </w:r>
      <w:r>
        <w:rPr>
          <w:rFonts w:hint="eastAsia"/>
        </w:rPr>
        <w:t>2</w:t>
      </w:r>
      <w:r>
        <w:rPr>
          <w:rFonts w:hint="default"/>
        </w:rPr>
        <w:t>5</w:t>
      </w:r>
      <w:r>
        <w:rPr>
          <w:rFonts w:hint="eastAsia"/>
        </w:rPr>
        <w:t>条第３項の規定に基づき、別紙の設備等については、同規則第７条第２項に規定する要件に該当することを誓約します。また、当該要件に該当することを証する書類として別添のとおり提出します。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＜様式第二十二　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rPr>
          <w:rFonts w:hint="default" w:ascii="ＭＳ 明朝" w:hAnsi="ＭＳ 明朝"/>
          <w:sz w:val="21"/>
        </w:rPr>
      </w:pPr>
      <w:r>
        <w:rPr>
          <w:rFonts w:hint="eastAsia" w:ascii="ＭＳ 明朝" w:hAnsi="ＭＳ 明朝"/>
          <w:sz w:val="21"/>
        </w:rPr>
        <w:t>　２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2</Pages>
  <Words>2</Words>
  <Characters>334</Characters>
  <Application>JUST Note</Application>
  <Lines>261</Lines>
  <Paragraphs>48</Paragraphs>
  <CharactersWithSpaces>396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2022-02-08T05:27:49Z</dcterms:modified>
  <cp:revision>2</cp:revision>
</cp:coreProperties>
</file>